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9780" w14:textId="10E16A74" w:rsidR="00E344A1" w:rsidRDefault="00E344A1" w:rsidP="00965124">
      <w:pPr>
        <w:pBdr>
          <w:bottom w:val="single" w:sz="12" w:space="1" w:color="auto"/>
        </w:pBdr>
        <w:ind w:left="567" w:firstLine="284"/>
        <w:jc w:val="right"/>
      </w:pPr>
    </w:p>
    <w:p w14:paraId="47469D10" w14:textId="77777777" w:rsidR="00DC4F1A" w:rsidRPr="00F409BC" w:rsidRDefault="008708F4" w:rsidP="004331FF">
      <w:pPr>
        <w:pStyle w:val="3"/>
        <w:tabs>
          <w:tab w:val="left" w:pos="7363"/>
        </w:tabs>
        <w:ind w:left="567" w:firstLine="284"/>
        <w:jc w:val="center"/>
        <w:rPr>
          <w:rFonts w:ascii="Times New Roman" w:hAnsi="Times New Roman"/>
          <w:b/>
          <w:bCs/>
          <w:sz w:val="24"/>
          <w:u w:val="single"/>
          <w:lang w:val="it-IT"/>
        </w:rPr>
      </w:pPr>
      <w:r w:rsidRPr="004331FF">
        <w:rPr>
          <w:sz w:val="24"/>
        </w:rPr>
        <w:t xml:space="preserve">   </w:t>
      </w:r>
      <w:r w:rsidR="00DC4F1A" w:rsidRPr="00F409BC">
        <w:rPr>
          <w:rFonts w:ascii="Times New Roman" w:hAnsi="Times New Roman"/>
          <w:b/>
          <w:bCs/>
          <w:sz w:val="24"/>
          <w:u w:val="single"/>
          <w:lang w:val="it-IT"/>
        </w:rPr>
        <w:t>AO Fondul pentru Prevenirea Criminalitații  FPC-Moldova</w:t>
      </w:r>
    </w:p>
    <w:p w14:paraId="7B044893" w14:textId="77777777" w:rsidR="00DC4F1A" w:rsidRPr="00A45069" w:rsidRDefault="00DC4F1A" w:rsidP="004331FF">
      <w:pPr>
        <w:pStyle w:val="3"/>
        <w:tabs>
          <w:tab w:val="left" w:pos="7363"/>
        </w:tabs>
        <w:ind w:left="567" w:firstLine="284"/>
        <w:jc w:val="center"/>
        <w:rPr>
          <w:rFonts w:ascii="Times New Roman" w:hAnsi="Times New Roman"/>
          <w:b/>
          <w:bCs/>
          <w:sz w:val="24"/>
          <w:u w:val="single"/>
          <w:lang w:val="it-IT"/>
        </w:rPr>
      </w:pPr>
      <w:r w:rsidRPr="00A45069">
        <w:rPr>
          <w:rFonts w:ascii="Times New Roman" w:hAnsi="Times New Roman"/>
          <w:b/>
          <w:bCs/>
          <w:sz w:val="24"/>
          <w:u w:val="single"/>
          <w:lang w:val="it-IT"/>
        </w:rPr>
        <w:t>Public Association Crime Prevention Fund</w:t>
      </w:r>
    </w:p>
    <w:p w14:paraId="78E0954E" w14:textId="77777777" w:rsidR="00F409BC" w:rsidRPr="00A45069" w:rsidRDefault="00F409BC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center"/>
        <w:textAlignment w:val="baseline"/>
        <w:rPr>
          <w:rFonts w:asciiTheme="minorHAnsi" w:eastAsia="Calibri" w:hAnsiTheme="minorHAnsi" w:cstheme="minorHAnsi"/>
          <w:b/>
          <w:bCs/>
          <w:sz w:val="20"/>
          <w:szCs w:val="20"/>
          <w:lang w:val="it-IT"/>
        </w:rPr>
      </w:pPr>
      <w:bookmarkStart w:id="0" w:name="_Hlk214021969"/>
    </w:p>
    <w:p w14:paraId="5ACCD31C" w14:textId="43F98BB8" w:rsidR="00F409BC" w:rsidRPr="00E21E3F" w:rsidRDefault="00A45069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center"/>
        <w:textAlignment w:val="baseline"/>
        <w:rPr>
          <w:rFonts w:ascii="Arial" w:eastAsia="Calibri" w:hAnsi="Arial" w:cs="Arial"/>
          <w:b/>
          <w:bCs/>
          <w:lang w:val="ro-MD"/>
        </w:rPr>
      </w:pPr>
      <w:r w:rsidRPr="00E21E3F">
        <w:rPr>
          <w:rFonts w:ascii="Arial" w:eastAsia="Calibri" w:hAnsi="Arial" w:cs="Arial"/>
          <w:b/>
          <w:bCs/>
          <w:lang w:val="ro-MD"/>
        </w:rPr>
        <w:t>I N V I T A Ț I E</w:t>
      </w:r>
    </w:p>
    <w:p w14:paraId="7BF55C46" w14:textId="77777777" w:rsidR="001A41AA" w:rsidRPr="00E21E3F" w:rsidRDefault="001A41AA" w:rsidP="00F409BC">
      <w:pPr>
        <w:pStyle w:val="ae"/>
        <w:tabs>
          <w:tab w:val="num" w:pos="0"/>
        </w:tabs>
        <w:spacing w:before="0" w:beforeAutospacing="0" w:after="0" w:afterAutospacing="0"/>
        <w:ind w:left="432" w:hanging="432"/>
        <w:jc w:val="center"/>
        <w:textAlignment w:val="baseline"/>
        <w:rPr>
          <w:rFonts w:ascii="Arial" w:eastAsia="Calibri" w:hAnsi="Arial" w:cs="Arial"/>
          <w:b/>
          <w:bCs/>
          <w:lang w:val="ro-MD"/>
        </w:rPr>
      </w:pPr>
    </w:p>
    <w:p w14:paraId="249BC5A2" w14:textId="6D5F68A3" w:rsidR="001A41AA" w:rsidRPr="00E21E3F" w:rsidRDefault="00E21E3F" w:rsidP="001A41AA">
      <w:pPr>
        <w:shd w:val="clear" w:color="auto" w:fill="FFFFFF"/>
        <w:jc w:val="both"/>
        <w:rPr>
          <w:rFonts w:ascii="Arial" w:hAnsi="Arial" w:cs="Arial"/>
          <w:sz w:val="24"/>
          <w:szCs w:val="24"/>
          <w:lang w:val="it-IT"/>
        </w:rPr>
      </w:pPr>
      <w:r w:rsidRPr="00E21E3F">
        <w:rPr>
          <w:rFonts w:ascii="Arial" w:hAnsi="Arial" w:cs="Arial"/>
          <w:color w:val="002060"/>
          <w:sz w:val="24"/>
          <w:szCs w:val="24"/>
          <w:lang w:val="it-IT"/>
        </w:rPr>
        <w:t xml:space="preserve">     </w:t>
      </w:r>
      <w:r w:rsidR="001A41AA" w:rsidRPr="00E21E3F">
        <w:rPr>
          <w:rFonts w:ascii="Arial" w:hAnsi="Arial" w:cs="Arial"/>
          <w:color w:val="002060"/>
          <w:sz w:val="24"/>
          <w:szCs w:val="24"/>
          <w:lang w:val="it-IT"/>
        </w:rPr>
        <w:t xml:space="preserve"> </w:t>
      </w:r>
      <w:r w:rsidR="001A41AA" w:rsidRPr="00E21E3F">
        <w:rPr>
          <w:rFonts w:ascii="Arial" w:hAnsi="Arial" w:cs="Arial"/>
          <w:sz w:val="24"/>
          <w:szCs w:val="24"/>
          <w:lang w:val="ro-MD"/>
        </w:rPr>
        <w:t>Asociația Obștească “Fondul pentru Prevenirea Criminalității” FPC</w:t>
      </w:r>
      <w:r w:rsidR="001A41AA" w:rsidRPr="00E21E3F">
        <w:rPr>
          <w:rFonts w:ascii="Arial" w:hAnsi="Arial" w:cs="Arial"/>
          <w:sz w:val="24"/>
          <w:szCs w:val="24"/>
          <w:lang w:val="it-IT"/>
        </w:rPr>
        <w:t>, prin intermediul</w:t>
      </w:r>
      <w:r w:rsidR="001A41AA" w:rsidRPr="00E21E3F">
        <w:rPr>
          <w:rFonts w:ascii="Arial" w:hAnsi="Arial" w:cs="Arial"/>
          <w:color w:val="2F5597"/>
          <w:sz w:val="24"/>
          <w:szCs w:val="24"/>
          <w:lang w:val="it-IT"/>
        </w:rPr>
        <w:t xml:space="preserve"> </w:t>
      </w:r>
      <w:r w:rsidR="001A41AA" w:rsidRPr="00E21E3F">
        <w:rPr>
          <w:rFonts w:ascii="Arial" w:hAnsi="Arial" w:cs="Arial"/>
          <w:sz w:val="24"/>
          <w:szCs w:val="24"/>
          <w:lang w:val="it-IT"/>
        </w:rPr>
        <w:t xml:space="preserve">Proiectului </w:t>
      </w:r>
      <w:r w:rsidR="001A41AA" w:rsidRPr="00E21E3F">
        <w:rPr>
          <w:rFonts w:ascii="Arial" w:hAnsi="Arial" w:cs="Arial"/>
          <w:sz w:val="24"/>
          <w:szCs w:val="24"/>
          <w:lang w:val="ro-MD"/>
        </w:rPr>
        <w:t>„Parteneriate locale pentru eficiență energetică în Servicii sociale mai bune”, finan</w:t>
      </w:r>
      <w:r w:rsidR="00E218A0" w:rsidRPr="00E21E3F">
        <w:rPr>
          <w:rFonts w:ascii="Arial" w:hAnsi="Arial" w:cs="Arial"/>
          <w:sz w:val="24"/>
          <w:szCs w:val="24"/>
          <w:lang w:val="ro-MD"/>
        </w:rPr>
        <w:t>țat de</w:t>
      </w:r>
      <w:r w:rsidR="001A41AA" w:rsidRPr="00E21E3F">
        <w:rPr>
          <w:rFonts w:ascii="Arial" w:hAnsi="Arial" w:cs="Arial"/>
          <w:sz w:val="24"/>
          <w:szCs w:val="24"/>
          <w:lang w:val="ro-MD"/>
        </w:rPr>
        <w:t xml:space="preserve"> </w:t>
      </w:r>
      <w:r w:rsidR="00E218A0" w:rsidRPr="00E21E3F">
        <w:rPr>
          <w:rFonts w:ascii="Arial" w:hAnsi="Arial" w:cs="Arial"/>
          <w:sz w:val="24"/>
          <w:szCs w:val="24"/>
          <w:lang w:val="ro-MD"/>
        </w:rPr>
        <w:t xml:space="preserve">Uniuni Europene, </w:t>
      </w:r>
      <w:r w:rsidR="001A41AA" w:rsidRPr="00E21E3F">
        <w:rPr>
          <w:rFonts w:ascii="Arial" w:hAnsi="Arial" w:cs="Arial"/>
          <w:sz w:val="24"/>
          <w:szCs w:val="24"/>
          <w:lang w:val="ro-MD"/>
        </w:rPr>
        <w:t>co-finanțat și implementat de Fundația Soros</w:t>
      </w:r>
      <w:r w:rsidRPr="00E21E3F">
        <w:rPr>
          <w:rFonts w:ascii="Arial" w:hAnsi="Arial" w:cs="Arial"/>
          <w:sz w:val="24"/>
          <w:szCs w:val="24"/>
          <w:lang w:val="ro-MD"/>
        </w:rPr>
        <w:t xml:space="preserve"> </w:t>
      </w:r>
      <w:r w:rsidR="001A41AA" w:rsidRPr="00E21E3F">
        <w:rPr>
          <w:rFonts w:ascii="Arial" w:hAnsi="Arial" w:cs="Arial"/>
          <w:sz w:val="24"/>
          <w:szCs w:val="24"/>
          <w:lang w:val="ro-MD"/>
        </w:rPr>
        <w:t>Moldova, în parteneriat cu I.P. Keystone Moldova și AO Fondul pentru Inovații Sociale din Modova</w:t>
      </w:r>
      <w:r w:rsidRPr="00E21E3F">
        <w:rPr>
          <w:rFonts w:ascii="Arial" w:hAnsi="Arial" w:cs="Arial"/>
          <w:sz w:val="24"/>
          <w:szCs w:val="24"/>
          <w:lang w:val="ro-MD"/>
        </w:rPr>
        <w:t xml:space="preserve"> invita companiile de construcție interesate să participe la licitație.</w:t>
      </w:r>
      <w:r w:rsidR="001A41AA" w:rsidRPr="00E21E3F">
        <w:rPr>
          <w:rFonts w:ascii="Arial" w:hAnsi="Arial" w:cs="Arial"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3450296A" w14:textId="115EF1F1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Fundația Soros Moldova a anunțat licitație repetată pentru identificarea unor companii calificate care să implementeze un pachet complex de măsuri de eficiență energetică în 13 clădiri destinate prestării de servicii sociale din Republica Moldova.</w:t>
      </w:r>
    </w:p>
    <w:p w14:paraId="02519849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Intervențiile sunt planificate în abordarea design-build (proiectare și construcție), fiind astfel vizate companii capabile să asigure un management integral al procesului — de la etapa de proiectare până la execuția lucrărilor — pentru modernizarea și creșterea sustenabilității infrastructurii sociale. </w:t>
      </w:r>
    </w:p>
    <w:p w14:paraId="0F4BD4A8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</w:t>
      </w:r>
    </w:p>
    <w:p w14:paraId="6B29E3FC" w14:textId="77777777" w:rsidR="00E21E3F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Prezenta procedură reprezintă o licitație repetată organizată pentru 13 (treisprezece) Loturi rămase neatribuite în cadrul concursului anterior privind executarea lucrărilor de eficiență energetică a 34 de clădiri. </w:t>
      </w:r>
    </w:p>
    <w:p w14:paraId="411C18CF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</w:p>
    <w:p w14:paraId="6DF08427" w14:textId="708DE586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Unul din aceste loturi este proiectul 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”Soarele dă căldura copiilor”, S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erviciul 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Social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 -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 Centrul pentru copii în situație de risc ”Speranța” orașul Tvardița, raionul Taraclia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.</w:t>
      </w:r>
    </w:p>
    <w:p w14:paraId="3F0ACCE5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</w:t>
      </w:r>
    </w:p>
    <w:p w14:paraId="1C63496E" w14:textId="0EAB4848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În acest context, rugăm respectuos companiile c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are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 ar fi interesate să participe la licitație. Anunțul complet cu toate documentele relevante îl găsiți la următorul 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l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ink: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 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</w:t>
      </w:r>
      <w:hyperlink r:id="rId8" w:tgtFrame="_blank" w:history="1">
        <w:r w:rsidRPr="0066445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it-IT" w:eastAsia="ru-RU"/>
          </w:rPr>
          <w:t>https://soros.md/achizitii/lucrari-de-eficientizare-energetica-a-cladirilor-cu-destinatie-sociala-licitatie-repetata-pentru-13-loturi-neatribuite/</w:t>
        </w:r>
      </w:hyperlink>
    </w:p>
    <w:p w14:paraId="2804CB71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</w:t>
      </w:r>
    </w:p>
    <w:p w14:paraId="5AFD76A8" w14:textId="77777777" w:rsidR="00E21E3F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Pentru companiile care intenționează să par</w:t>
      </w:r>
      <w:r w:rsidRPr="00664459">
        <w:rPr>
          <w:rFonts w:ascii="Calibri" w:eastAsia="Times New Roman" w:hAnsi="Calibri" w:cs="Calibri"/>
          <w:color w:val="222222"/>
          <w:sz w:val="24"/>
          <w:szCs w:val="24"/>
          <w:lang w:val="it-IT" w:eastAsia="ru-RU"/>
        </w:rPr>
        <w:t>ti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cipe la Licitație va fi organizată o sesiune de informare online pentru clarificări și detalii la data de 10 decembrie 2025, ora 11.00 EET. Pentru a par</w:t>
      </w:r>
      <w:r w:rsidRPr="00664459">
        <w:rPr>
          <w:rFonts w:ascii="Calibri" w:eastAsia="Times New Roman" w:hAnsi="Calibri" w:cs="Calibri"/>
          <w:color w:val="222222"/>
          <w:sz w:val="24"/>
          <w:szCs w:val="24"/>
          <w:lang w:val="it-IT" w:eastAsia="ru-RU"/>
        </w:rPr>
        <w:t>ti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cipa la sesiunile de informare, doritorii sunt rugați să se înregistreze completând următorul formular până la data de 9 decembrie 2025, ora 09.00 EET: </w:t>
      </w:r>
      <w:hyperlink r:id="rId9" w:tgtFrame="_blank" w:history="1">
        <w:r w:rsidRPr="0066445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it-IT" w:eastAsia="ru-RU"/>
          </w:rPr>
          <w:t>https://forms.gle/556atspbSCSR9Jxc7</w:t>
        </w:r>
      </w:hyperlink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.</w:t>
      </w:r>
    </w:p>
    <w:p w14:paraId="48BDE53F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</w:p>
    <w:p w14:paraId="3810700A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Toate informațiile cu detaliile privind data organizării sesiunilor de informare online și modalitatea de conectare, vor fi transmise pe adresele de email înregistrate.</w:t>
      </w:r>
    </w:p>
    <w:p w14:paraId="69A6F46A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</w:t>
      </w:r>
    </w:p>
    <w:p w14:paraId="44FB7CF8" w14:textId="77777777" w:rsidR="00E21E3F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lastRenderedPageBreak/>
        <w:t>De asemenea, venim cu solicitarea să postați anunțul pe paginile Dvs. de socializare și să rugați partenerii din localitate ( APL, ATAS, Consiliul rational, etc.) să distribuie și ei.</w:t>
      </w:r>
    </w:p>
    <w:p w14:paraId="7EF61699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</w:p>
    <w:p w14:paraId="41CDE9FC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Link-ul cu postarea este aici: </w:t>
      </w:r>
      <w:hyperlink r:id="rId10" w:tgtFrame="_blank" w:history="1">
        <w:r w:rsidRPr="0066445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it-IT" w:eastAsia="ru-RU"/>
          </w:rPr>
          <w:t>https://www.facebook.com/serviciisocialemaibune/posts/pfbid02KfHvbePYEQU5s6Ue1kn9uayhN6kAUCWtj171uA7TRnn6XPE4nQ31hWFPG7EuyYutl?locale=ru_RU</w:t>
        </w:r>
      </w:hyperlink>
    </w:p>
    <w:p w14:paraId="139652E0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</w:t>
      </w:r>
    </w:p>
    <w:p w14:paraId="08F60530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Informații suplimentare puteți solicita la 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e-mail: </w:t>
      </w:r>
      <w:hyperlink r:id="rId11" w:history="1">
        <w:r w:rsidRPr="00371CB9">
          <w:rPr>
            <w:rStyle w:val="ad"/>
            <w:rFonts w:ascii="Arial" w:eastAsia="Times New Roman" w:hAnsi="Arial" w:cs="Arial"/>
            <w:sz w:val="24"/>
            <w:szCs w:val="24"/>
            <w:lang w:val="it-IT" w:eastAsia="ru-RU"/>
          </w:rPr>
          <w:t>office.fpc.md@gmail.com</w:t>
        </w:r>
      </w:hyperlink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 Manager de proiect, </w:t>
      </w: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 xml:space="preserve"> </w:t>
      </w:r>
    </w:p>
    <w:p w14:paraId="6131C38C" w14:textId="77777777" w:rsidR="00E21E3F" w:rsidRPr="00664459" w:rsidRDefault="00E21E3F" w:rsidP="00E21E3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</w:pPr>
      <w:r w:rsidRPr="00664459">
        <w:rPr>
          <w:rFonts w:ascii="Arial" w:eastAsia="Times New Roman" w:hAnsi="Arial" w:cs="Arial"/>
          <w:color w:val="222222"/>
          <w:sz w:val="24"/>
          <w:szCs w:val="24"/>
          <w:lang w:val="it-IT" w:eastAsia="ru-RU"/>
        </w:rPr>
        <w:t> </w:t>
      </w:r>
    </w:p>
    <w:p w14:paraId="0ECA2E09" w14:textId="77777777" w:rsidR="00E21E3F" w:rsidRDefault="00E21E3F" w:rsidP="005A0B7F">
      <w:pPr>
        <w:spacing w:before="120" w:line="276" w:lineRule="auto"/>
        <w:ind w:left="567"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</w:p>
    <w:sectPr w:rsidR="00E21E3F" w:rsidSect="009126F9">
      <w:headerReference w:type="default" r:id="rId12"/>
      <w:footerReference w:type="default" r:id="rId13"/>
      <w:pgSz w:w="11906" w:h="16838"/>
      <w:pgMar w:top="2127" w:right="707" w:bottom="1134" w:left="993" w:header="1135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A119" w14:textId="77777777" w:rsidR="000B785E" w:rsidRDefault="000B785E" w:rsidP="0059245D">
      <w:pPr>
        <w:spacing w:after="0" w:line="240" w:lineRule="auto"/>
      </w:pPr>
      <w:r>
        <w:separator/>
      </w:r>
    </w:p>
  </w:endnote>
  <w:endnote w:type="continuationSeparator" w:id="0">
    <w:p w14:paraId="31BA0B70" w14:textId="77777777" w:rsidR="000B785E" w:rsidRDefault="000B785E" w:rsidP="005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3EFA" w14:textId="72D1863F" w:rsidR="0051484C" w:rsidRDefault="0051484C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B180FBA" wp14:editId="32E4937E">
          <wp:simplePos x="0" y="0"/>
          <wp:positionH relativeFrom="column">
            <wp:posOffset>545465</wp:posOffset>
          </wp:positionH>
          <wp:positionV relativeFrom="paragraph">
            <wp:posOffset>102870</wp:posOffset>
          </wp:positionV>
          <wp:extent cx="4065905" cy="836930"/>
          <wp:effectExtent l="0" t="0" r="0" b="1270"/>
          <wp:wrapTopAndBottom/>
          <wp:docPr id="2064322259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590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B103" w14:textId="77777777" w:rsidR="000B785E" w:rsidRDefault="000B785E" w:rsidP="0059245D">
      <w:pPr>
        <w:spacing w:after="0" w:line="240" w:lineRule="auto"/>
      </w:pPr>
      <w:r>
        <w:separator/>
      </w:r>
    </w:p>
  </w:footnote>
  <w:footnote w:type="continuationSeparator" w:id="0">
    <w:p w14:paraId="76E06221" w14:textId="77777777" w:rsidR="000B785E" w:rsidRDefault="000B785E" w:rsidP="005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2D12" w14:textId="3684929F" w:rsidR="0059245D" w:rsidRPr="00965124" w:rsidRDefault="00C71866" w:rsidP="00C71866">
    <w:pPr>
      <w:pStyle w:val="a4"/>
      <w:ind w:left="-851"/>
      <w:jc w:val="center"/>
      <w:rPr>
        <w:rFonts w:cstheme="minorHAnsi"/>
        <w:sz w:val="20"/>
        <w:szCs w:val="20"/>
        <w:lang w:val="ro-MD"/>
      </w:rPr>
    </w:pPr>
    <w:r w:rsidRPr="00965124">
      <w:rPr>
        <w:rFonts w:eastAsia="Arial" w:cstheme="minorHAnsi"/>
        <w:noProof/>
        <w:color w:val="000000"/>
        <w:sz w:val="20"/>
        <w:szCs w:val="20"/>
        <w:lang w:val="ru-RU" w:eastAsia="ru-RU"/>
      </w:rPr>
      <w:drawing>
        <wp:anchor distT="0" distB="0" distL="114300" distR="114300" simplePos="0" relativeHeight="251660288" behindDoc="1" locked="0" layoutInCell="1" allowOverlap="1" wp14:anchorId="7B34C86C" wp14:editId="2B930534">
          <wp:simplePos x="0" y="0"/>
          <wp:positionH relativeFrom="page">
            <wp:align>left</wp:align>
          </wp:positionH>
          <wp:positionV relativeFrom="paragraph">
            <wp:posOffset>-614045</wp:posOffset>
          </wp:positionV>
          <wp:extent cx="7649210" cy="853440"/>
          <wp:effectExtent l="0" t="0" r="8890" b="3810"/>
          <wp:wrapTight wrapText="bothSides">
            <wp:wrapPolygon edited="0">
              <wp:start x="0" y="0"/>
              <wp:lineTo x="0" y="21214"/>
              <wp:lineTo x="21571" y="21214"/>
              <wp:lineTo x="21571" y="0"/>
              <wp:lineTo x="0" y="0"/>
            </wp:wrapPolygon>
          </wp:wrapTight>
          <wp:docPr id="1510219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дтд10top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21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 xml:space="preserve">Proiectul ”Soarele dă Căldură Copiilor”, este implementat de </w:t>
    </w:r>
    <w:r w:rsidR="006C79FC" w:rsidRPr="00965124">
      <w:rPr>
        <w:rFonts w:eastAsia="Arial" w:cstheme="minorHAnsi"/>
        <w:sz w:val="20"/>
        <w:szCs w:val="20"/>
        <w:lang w:val="ro-RO"/>
      </w:rPr>
      <w:t xml:space="preserve">AO ”Fondul pentru Prevenirea Criminalității”, </w:t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 xml:space="preserve">cu suportul financiar </w:t>
    </w:r>
    <w:r w:rsidR="008C6674">
      <w:rPr>
        <w:rFonts w:eastAsia="Arial" w:cstheme="minorHAnsi"/>
        <w:color w:val="000000"/>
        <w:sz w:val="20"/>
        <w:szCs w:val="20"/>
        <w:lang w:val="ro-RO"/>
      </w:rPr>
      <w:t xml:space="preserve">         </w:t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 xml:space="preserve">Uniunii Europene în cadrul proiectului „Parteneriate locale pentru eficiența energetică în </w:t>
    </w:r>
    <w:r w:rsidR="00965124" w:rsidRPr="00965124">
      <w:rPr>
        <w:rFonts w:eastAsia="Arial" w:cstheme="minorHAnsi"/>
        <w:color w:val="000000"/>
        <w:sz w:val="20"/>
        <w:szCs w:val="20"/>
        <w:lang w:val="ro-RO"/>
      </w:rPr>
      <w:t xml:space="preserve">  </w:t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 xml:space="preserve">servicii sociale”, cofinanțat și implementat </w:t>
    </w:r>
    <w:r w:rsidR="00965124">
      <w:rPr>
        <w:rFonts w:eastAsia="Arial" w:cstheme="minorHAnsi"/>
        <w:color w:val="000000"/>
        <w:sz w:val="20"/>
        <w:szCs w:val="20"/>
        <w:lang w:val="ro-RO"/>
      </w:rPr>
      <w:t xml:space="preserve">                      </w:t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>de Fundația Soros Moldova în parteneriat cu</w:t>
    </w:r>
    <w:r w:rsidR="00965124" w:rsidRPr="00965124">
      <w:rPr>
        <w:rFonts w:eastAsia="Arial" w:cstheme="minorHAnsi"/>
        <w:color w:val="000000"/>
        <w:sz w:val="20"/>
        <w:szCs w:val="20"/>
        <w:lang w:val="ro-RO"/>
      </w:rPr>
      <w:t xml:space="preserve"> </w:t>
    </w:r>
    <w:r w:rsidR="006C79FC" w:rsidRPr="00965124">
      <w:rPr>
        <w:rFonts w:eastAsia="Arial" w:cstheme="minorHAnsi"/>
        <w:color w:val="000000"/>
        <w:sz w:val="20"/>
        <w:szCs w:val="20"/>
        <w:lang w:val="ro-RO"/>
      </w:rPr>
      <w:t>IP Keystone Moldova și AO „Fondul de Inovații Sociale din Moldova”.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FFEE5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27540"/>
    <w:multiLevelType w:val="multilevel"/>
    <w:tmpl w:val="F6C6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35BE4"/>
    <w:multiLevelType w:val="hybridMultilevel"/>
    <w:tmpl w:val="FF2A8C58"/>
    <w:lvl w:ilvl="0" w:tplc="04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3" w15:restartNumberingAfterBreak="0">
    <w:nsid w:val="6BDC2CE4"/>
    <w:multiLevelType w:val="multilevel"/>
    <w:tmpl w:val="E83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A9448B"/>
    <w:multiLevelType w:val="multilevel"/>
    <w:tmpl w:val="77A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3782C"/>
    <w:multiLevelType w:val="hybridMultilevel"/>
    <w:tmpl w:val="45E6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C2B5E"/>
    <w:multiLevelType w:val="multilevel"/>
    <w:tmpl w:val="E9C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683677">
    <w:abstractNumId w:val="5"/>
  </w:num>
  <w:num w:numId="2" w16cid:durableId="1983775352">
    <w:abstractNumId w:val="4"/>
  </w:num>
  <w:num w:numId="3" w16cid:durableId="607389015">
    <w:abstractNumId w:val="1"/>
  </w:num>
  <w:num w:numId="4" w16cid:durableId="100881788">
    <w:abstractNumId w:val="0"/>
  </w:num>
  <w:num w:numId="5" w16cid:durableId="113599315">
    <w:abstractNumId w:val="3"/>
  </w:num>
  <w:num w:numId="6" w16cid:durableId="1220480195">
    <w:abstractNumId w:val="6"/>
  </w:num>
  <w:num w:numId="7" w16cid:durableId="113352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5D"/>
    <w:rsid w:val="00030DA9"/>
    <w:rsid w:val="000A7BF8"/>
    <w:rsid w:val="000B785E"/>
    <w:rsid w:val="000D5053"/>
    <w:rsid w:val="000D5BBF"/>
    <w:rsid w:val="000D5F00"/>
    <w:rsid w:val="000D6D93"/>
    <w:rsid w:val="000E1DEB"/>
    <w:rsid w:val="001134D9"/>
    <w:rsid w:val="00136CC3"/>
    <w:rsid w:val="00137425"/>
    <w:rsid w:val="00137CE2"/>
    <w:rsid w:val="0014641C"/>
    <w:rsid w:val="0016389E"/>
    <w:rsid w:val="001720E6"/>
    <w:rsid w:val="001947F2"/>
    <w:rsid w:val="001A41AA"/>
    <w:rsid w:val="001A7774"/>
    <w:rsid w:val="001B4591"/>
    <w:rsid w:val="00244B25"/>
    <w:rsid w:val="00257605"/>
    <w:rsid w:val="00272E14"/>
    <w:rsid w:val="0029243E"/>
    <w:rsid w:val="002A2E20"/>
    <w:rsid w:val="002D445E"/>
    <w:rsid w:val="002D7F10"/>
    <w:rsid w:val="00304516"/>
    <w:rsid w:val="00361A2C"/>
    <w:rsid w:val="003773EB"/>
    <w:rsid w:val="003900FB"/>
    <w:rsid w:val="003901B3"/>
    <w:rsid w:val="003903A8"/>
    <w:rsid w:val="00393666"/>
    <w:rsid w:val="003C3A67"/>
    <w:rsid w:val="003D0B32"/>
    <w:rsid w:val="0042114E"/>
    <w:rsid w:val="00424953"/>
    <w:rsid w:val="004331FF"/>
    <w:rsid w:val="00442596"/>
    <w:rsid w:val="00473731"/>
    <w:rsid w:val="004C3CF4"/>
    <w:rsid w:val="004E3341"/>
    <w:rsid w:val="004E7305"/>
    <w:rsid w:val="004F3A39"/>
    <w:rsid w:val="005016F6"/>
    <w:rsid w:val="00502D47"/>
    <w:rsid w:val="00503CEA"/>
    <w:rsid w:val="00511FEF"/>
    <w:rsid w:val="0051484C"/>
    <w:rsid w:val="005508DE"/>
    <w:rsid w:val="0059245D"/>
    <w:rsid w:val="005A0B7F"/>
    <w:rsid w:val="005B3BD9"/>
    <w:rsid w:val="005D5E3A"/>
    <w:rsid w:val="005F6BB8"/>
    <w:rsid w:val="0061749A"/>
    <w:rsid w:val="00654595"/>
    <w:rsid w:val="00676FD6"/>
    <w:rsid w:val="006A3461"/>
    <w:rsid w:val="006B1F51"/>
    <w:rsid w:val="006C79FC"/>
    <w:rsid w:val="006F7A15"/>
    <w:rsid w:val="00712654"/>
    <w:rsid w:val="00734986"/>
    <w:rsid w:val="00747E33"/>
    <w:rsid w:val="00760A1F"/>
    <w:rsid w:val="00790B98"/>
    <w:rsid w:val="007E70D6"/>
    <w:rsid w:val="00821A41"/>
    <w:rsid w:val="0082407D"/>
    <w:rsid w:val="0084417C"/>
    <w:rsid w:val="00860389"/>
    <w:rsid w:val="008622FE"/>
    <w:rsid w:val="008708F4"/>
    <w:rsid w:val="008814C8"/>
    <w:rsid w:val="00892EC1"/>
    <w:rsid w:val="00896E4A"/>
    <w:rsid w:val="008B01B1"/>
    <w:rsid w:val="008C6674"/>
    <w:rsid w:val="008E3CE8"/>
    <w:rsid w:val="008F359B"/>
    <w:rsid w:val="009126F9"/>
    <w:rsid w:val="00965124"/>
    <w:rsid w:val="009A557F"/>
    <w:rsid w:val="009D228D"/>
    <w:rsid w:val="009D4B31"/>
    <w:rsid w:val="00A10297"/>
    <w:rsid w:val="00A208F1"/>
    <w:rsid w:val="00A45069"/>
    <w:rsid w:val="00A62BAF"/>
    <w:rsid w:val="00A96B51"/>
    <w:rsid w:val="00B515D1"/>
    <w:rsid w:val="00B93963"/>
    <w:rsid w:val="00BA1963"/>
    <w:rsid w:val="00BC416B"/>
    <w:rsid w:val="00BD0087"/>
    <w:rsid w:val="00BD5D50"/>
    <w:rsid w:val="00BF3258"/>
    <w:rsid w:val="00C03380"/>
    <w:rsid w:val="00C145B3"/>
    <w:rsid w:val="00C270E1"/>
    <w:rsid w:val="00C30053"/>
    <w:rsid w:val="00C30184"/>
    <w:rsid w:val="00C63CD7"/>
    <w:rsid w:val="00C71866"/>
    <w:rsid w:val="00C90E25"/>
    <w:rsid w:val="00CB7469"/>
    <w:rsid w:val="00CC48AD"/>
    <w:rsid w:val="00CE23C1"/>
    <w:rsid w:val="00D04365"/>
    <w:rsid w:val="00D14A6E"/>
    <w:rsid w:val="00D211A6"/>
    <w:rsid w:val="00D22486"/>
    <w:rsid w:val="00D761AD"/>
    <w:rsid w:val="00D8094B"/>
    <w:rsid w:val="00DA1015"/>
    <w:rsid w:val="00DC4F1A"/>
    <w:rsid w:val="00DE4722"/>
    <w:rsid w:val="00DE59C1"/>
    <w:rsid w:val="00DE7C20"/>
    <w:rsid w:val="00E02693"/>
    <w:rsid w:val="00E05C5A"/>
    <w:rsid w:val="00E218A0"/>
    <w:rsid w:val="00E21E3F"/>
    <w:rsid w:val="00E344A1"/>
    <w:rsid w:val="00E367E2"/>
    <w:rsid w:val="00EB7971"/>
    <w:rsid w:val="00EC57ED"/>
    <w:rsid w:val="00ED0ABA"/>
    <w:rsid w:val="00EE0328"/>
    <w:rsid w:val="00F27B13"/>
    <w:rsid w:val="00F409BC"/>
    <w:rsid w:val="00F41F46"/>
    <w:rsid w:val="00F638E4"/>
    <w:rsid w:val="00F6519F"/>
    <w:rsid w:val="00F929FB"/>
    <w:rsid w:val="00F95FB3"/>
    <w:rsid w:val="00FD000D"/>
    <w:rsid w:val="00FD1A4E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58FA"/>
  <w15:chartTrackingRefBased/>
  <w15:docId w15:val="{A72DE707-3D85-4BA7-BB84-64251116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nhideWhenUsed/>
    <w:qFormat/>
    <w:rsid w:val="00F409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924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9245D"/>
  </w:style>
  <w:style w:type="paragraph" w:styleId="a6">
    <w:name w:val="footer"/>
    <w:basedOn w:val="a0"/>
    <w:link w:val="a7"/>
    <w:uiPriority w:val="99"/>
    <w:unhideWhenUsed/>
    <w:rsid w:val="005924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59245D"/>
  </w:style>
  <w:style w:type="paragraph" w:styleId="3">
    <w:name w:val="Body Text 3"/>
    <w:basedOn w:val="a0"/>
    <w:link w:val="30"/>
    <w:semiHidden/>
    <w:unhideWhenUsed/>
    <w:rsid w:val="00DC4F1A"/>
    <w:pPr>
      <w:spacing w:after="0" w:line="240" w:lineRule="auto"/>
    </w:pPr>
    <w:rPr>
      <w:rFonts w:ascii="Arial" w:eastAsia="Times New Roman" w:hAnsi="Arial" w:cs="Times New Roman"/>
      <w:sz w:val="20"/>
      <w:szCs w:val="24"/>
      <w:lang w:val="ro-RO"/>
    </w:rPr>
  </w:style>
  <w:style w:type="character" w:customStyle="1" w:styleId="30">
    <w:name w:val="Основной текст 3 Знак"/>
    <w:basedOn w:val="a1"/>
    <w:link w:val="3"/>
    <w:semiHidden/>
    <w:rsid w:val="00DC4F1A"/>
    <w:rPr>
      <w:rFonts w:ascii="Arial" w:eastAsia="Times New Roman" w:hAnsi="Arial" w:cs="Times New Roman"/>
      <w:sz w:val="20"/>
      <w:szCs w:val="24"/>
      <w:lang w:val="ro-RO"/>
    </w:rPr>
  </w:style>
  <w:style w:type="paragraph" w:styleId="21">
    <w:name w:val="Body Text 2"/>
    <w:basedOn w:val="a0"/>
    <w:link w:val="22"/>
    <w:uiPriority w:val="99"/>
    <w:semiHidden/>
    <w:unhideWhenUsed/>
    <w:rsid w:val="005B3BD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5B3BD9"/>
  </w:style>
  <w:style w:type="paragraph" w:styleId="a8">
    <w:name w:val="Body Text Indent"/>
    <w:basedOn w:val="a0"/>
    <w:link w:val="a9"/>
    <w:uiPriority w:val="99"/>
    <w:semiHidden/>
    <w:unhideWhenUsed/>
    <w:rsid w:val="005B3BD9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5B3BD9"/>
  </w:style>
  <w:style w:type="paragraph" w:styleId="aa">
    <w:name w:val="No Spacing"/>
    <w:uiPriority w:val="1"/>
    <w:qFormat/>
    <w:rsid w:val="00030DA9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CB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B746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F409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styleId="ad">
    <w:name w:val="Hyperlink"/>
    <w:basedOn w:val="a1"/>
    <w:uiPriority w:val="99"/>
    <w:unhideWhenUsed/>
    <w:rsid w:val="00F409BC"/>
    <w:rPr>
      <w:color w:val="0563C1" w:themeColor="hyperlink"/>
      <w:u w:val="single"/>
    </w:rPr>
  </w:style>
  <w:style w:type="paragraph" w:styleId="ae">
    <w:name w:val="Normal (Web)"/>
    <w:basedOn w:val="a0"/>
    <w:uiPriority w:val="99"/>
    <w:semiHidden/>
    <w:unhideWhenUsed/>
    <w:rsid w:val="00F4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1"/>
    <w:uiPriority w:val="22"/>
    <w:qFormat/>
    <w:rsid w:val="00F409BC"/>
    <w:rPr>
      <w:b/>
      <w:bCs/>
    </w:rPr>
  </w:style>
  <w:style w:type="paragraph" w:styleId="a">
    <w:name w:val="List Number"/>
    <w:basedOn w:val="a0"/>
    <w:uiPriority w:val="99"/>
    <w:unhideWhenUsed/>
    <w:rsid w:val="00F409BC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character" w:styleId="af0">
    <w:name w:val="Emphasis"/>
    <w:basedOn w:val="a1"/>
    <w:uiPriority w:val="20"/>
    <w:qFormat/>
    <w:rsid w:val="001A41AA"/>
    <w:rPr>
      <w:i/>
      <w:iCs/>
    </w:rPr>
  </w:style>
  <w:style w:type="paragraph" w:styleId="af1">
    <w:name w:val="Body Text"/>
    <w:basedOn w:val="a0"/>
    <w:link w:val="af2"/>
    <w:uiPriority w:val="99"/>
    <w:semiHidden/>
    <w:unhideWhenUsed/>
    <w:rsid w:val="00A10297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A10297"/>
  </w:style>
  <w:style w:type="paragraph" w:customStyle="1" w:styleId="TableParagraph">
    <w:name w:val="Table Paragraph"/>
    <w:basedOn w:val="a0"/>
    <w:uiPriority w:val="1"/>
    <w:qFormat/>
    <w:rsid w:val="00A10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os.md/achizitii/lucrari-de-eficientizare-energetica-a-cladirilor-cu-destinatie-sociala-licitatie-repetata-pentru-13-loturi-neatribuit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fpc.m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erviciisocialemaibune/posts/pfbid02KfHvbePYEQU5s6Ue1kn9uayhN6kAUCWtj171uA7TRnn6XPE4nQ31hWFPG7EuyYutl?locale=ru_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56atspbSCSR9Jxc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3688F-79FA-4011-B40E-4EB9A6FE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M90</dc:creator>
  <cp:keywords/>
  <dc:description/>
  <cp:lastModifiedBy>Pancho Valchanov</cp:lastModifiedBy>
  <cp:revision>3</cp:revision>
  <cp:lastPrinted>2025-07-22T11:42:00Z</cp:lastPrinted>
  <dcterms:created xsi:type="dcterms:W3CDTF">2025-12-04T12:29:00Z</dcterms:created>
  <dcterms:modified xsi:type="dcterms:W3CDTF">2025-12-04T12:32:00Z</dcterms:modified>
</cp:coreProperties>
</file>